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5B6B49" w:rsidP="00054E0A">
      <w:pPr>
        <w:pStyle w:val="NoSpacing"/>
        <w:jc w:val="both"/>
        <w:rPr>
          <w:rFonts w:eastAsia="Times New Roman" w:cs="Arial"/>
          <w:b/>
          <w:bCs/>
          <w:szCs w:val="24"/>
        </w:rPr>
      </w:pPr>
    </w:p>
    <w:p w:rsidR="00054E0A" w:rsidRDefault="00B43971" w:rsidP="00054E0A">
      <w:pPr>
        <w:pStyle w:val="NoSpacing"/>
        <w:jc w:val="both"/>
        <w:rPr>
          <w:rFonts w:eastAsia="Times New Roman" w:cs="Arial"/>
          <w:b/>
          <w:bCs/>
          <w:szCs w:val="24"/>
        </w:rPr>
      </w:pPr>
      <w:r>
        <w:rPr>
          <w:rFonts w:eastAsia="Times New Roman" w:cs="Arial"/>
          <w:b/>
          <w:bCs/>
          <w:szCs w:val="24"/>
        </w:rPr>
        <w:t>CITY DEAL EXECUTIVE AND STEWARDSHIP BOARD</w:t>
      </w:r>
    </w:p>
    <w:p w:rsidR="00D3134F" w:rsidRPr="00D3134F" w:rsidRDefault="005B6B49" w:rsidP="00D3134F">
      <w:pPr>
        <w:spacing w:after="0" w:line="240" w:lineRule="auto"/>
        <w:rPr>
          <w:rFonts w:ascii="Arial" w:hAnsi="Arial" w:cs="Arial"/>
          <w:b/>
          <w:bCs/>
          <w:sz w:val="24"/>
          <w:szCs w:val="24"/>
        </w:rPr>
      </w:pPr>
    </w:p>
    <w:p w:rsidR="00D3134F" w:rsidRPr="00D3134F" w:rsidRDefault="00B43971"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sidR="00947408">
        <w:rPr>
          <w:rFonts w:ascii="Arial" w:hAnsi="Arial" w:cs="Arial"/>
          <w:b/>
          <w:sz w:val="24"/>
          <w:szCs w:val="24"/>
        </w:rPr>
        <w:t>No</w:t>
      </w:r>
    </w:p>
    <w:p w:rsidR="00D3134F" w:rsidRPr="00D3134F" w:rsidRDefault="005B6B49" w:rsidP="00D3134F">
      <w:pPr>
        <w:spacing w:after="0" w:line="240" w:lineRule="auto"/>
        <w:rPr>
          <w:rFonts w:ascii="Arial" w:hAnsi="Arial" w:cs="Arial"/>
          <w:sz w:val="24"/>
          <w:szCs w:val="24"/>
        </w:rPr>
      </w:pPr>
    </w:p>
    <w:p w:rsidR="00D3134F" w:rsidRPr="00D3134F" w:rsidRDefault="00B43971" w:rsidP="00D3134F">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Pr>
          <w:rFonts w:ascii="Arial" w:hAnsi="Arial" w:cs="Arial"/>
          <w:sz w:val="24"/>
          <w:szCs w:val="24"/>
        </w:rPr>
        <w:t>Monday, 19 February 2018</w:t>
      </w:r>
      <w:r>
        <w:rPr>
          <w:rFonts w:ascii="Arial" w:hAnsi="Arial" w:cs="Arial"/>
          <w:sz w:val="24"/>
          <w:szCs w:val="24"/>
        </w:rPr>
        <w:fldChar w:fldCharType="end"/>
      </w:r>
    </w:p>
    <w:p w:rsidR="00D3134F" w:rsidRPr="00D3134F" w:rsidRDefault="005B6B49" w:rsidP="00D3134F">
      <w:pPr>
        <w:spacing w:after="0" w:line="240" w:lineRule="auto"/>
        <w:rPr>
          <w:rFonts w:ascii="Arial" w:hAnsi="Arial" w:cs="Arial"/>
          <w:sz w:val="24"/>
          <w:szCs w:val="24"/>
        </w:rPr>
      </w:pPr>
    </w:p>
    <w:p w:rsidR="00D3134F" w:rsidRPr="00947408" w:rsidRDefault="00B43971"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Pr>
          <w:rFonts w:ascii="Arial" w:eastAsia="Times New Roman" w:hAnsi="Arial" w:cs="Arial"/>
          <w:b/>
          <w:sz w:val="24"/>
          <w:szCs w:val="24"/>
        </w:rPr>
        <w:t>City Deal Development Sites Overview</w:t>
      </w:r>
      <w:r>
        <w:rPr>
          <w:rFonts w:ascii="Arial" w:eastAsia="Times New Roman" w:hAnsi="Arial" w:cs="Arial"/>
          <w:b/>
          <w:sz w:val="24"/>
          <w:szCs w:val="24"/>
        </w:rPr>
        <w:fldChar w:fldCharType="end"/>
      </w:r>
    </w:p>
    <w:p w:rsidR="00947408" w:rsidRDefault="00947408" w:rsidP="00947408">
      <w:pPr>
        <w:spacing w:after="0" w:line="240" w:lineRule="auto"/>
        <w:ind w:right="-873"/>
        <w:rPr>
          <w:rFonts w:ascii="Arial" w:hAnsi="Arial" w:cs="Arial"/>
          <w:b/>
          <w:sz w:val="24"/>
          <w:szCs w:val="24"/>
        </w:rPr>
      </w:pPr>
    </w:p>
    <w:p w:rsidR="00947408" w:rsidRDefault="00947408" w:rsidP="00947408">
      <w:pPr>
        <w:spacing w:after="0" w:line="240" w:lineRule="auto"/>
        <w:ind w:right="-873"/>
        <w:rPr>
          <w:rFonts w:ascii="Arial" w:hAnsi="Arial" w:cs="Arial"/>
          <w:b/>
          <w:sz w:val="24"/>
          <w:szCs w:val="24"/>
        </w:rPr>
      </w:pPr>
      <w:r w:rsidRPr="00D3134F">
        <w:rPr>
          <w:rFonts w:ascii="Arial" w:hAnsi="Arial" w:cs="Arial"/>
          <w:b/>
          <w:sz w:val="24"/>
          <w:szCs w:val="24"/>
        </w:rPr>
        <w:t>Report Author:</w:t>
      </w:r>
      <w:r>
        <w:rPr>
          <w:rFonts w:ascii="Arial" w:hAnsi="Arial" w:cs="Arial"/>
          <w:b/>
          <w:sz w:val="24"/>
          <w:szCs w:val="24"/>
        </w:rPr>
        <w:t xml:space="preserve"> Jonathan Noad, Planning Manager, South Ribble Borough Council</w:t>
      </w:r>
    </w:p>
    <w:p w:rsidR="00947408" w:rsidRPr="00D3134F" w:rsidRDefault="00947408" w:rsidP="00947408">
      <w:pPr>
        <w:spacing w:after="0" w:line="240" w:lineRule="auto"/>
        <w:ind w:right="-873"/>
        <w:rPr>
          <w:rFonts w:ascii="Arial" w:eastAsia="Times New Roman" w:hAnsi="Arial" w:cs="Arial"/>
          <w:b/>
          <w:sz w:val="24"/>
          <w:szCs w:val="24"/>
        </w:rPr>
      </w:pPr>
      <w:r>
        <w:rPr>
          <w:rFonts w:ascii="Arial" w:hAnsi="Arial" w:cs="Arial"/>
          <w:b/>
          <w:sz w:val="24"/>
          <w:szCs w:val="24"/>
        </w:rPr>
        <w:t>Tel: 01772 625206</w:t>
      </w:r>
      <w:r w:rsidRPr="00D3134F">
        <w:rPr>
          <w:rFonts w:ascii="Arial" w:hAnsi="Arial" w:cs="Arial"/>
          <w:b/>
          <w:sz w:val="24"/>
          <w:szCs w:val="24"/>
        </w:rPr>
        <w:t xml:space="preserve"> </w:t>
      </w:r>
    </w:p>
    <w:p w:rsidR="00947408" w:rsidRDefault="005B6B49" w:rsidP="00947408">
      <w:pPr>
        <w:spacing w:after="0" w:line="240" w:lineRule="auto"/>
        <w:ind w:right="-873"/>
        <w:rPr>
          <w:rFonts w:ascii="Arial" w:hAnsi="Arial" w:cs="Arial"/>
          <w:b/>
          <w:sz w:val="24"/>
          <w:szCs w:val="24"/>
        </w:rPr>
      </w:pPr>
      <w:hyperlink r:id="rId8" w:history="1">
        <w:r w:rsidR="00947408" w:rsidRPr="00945566">
          <w:rPr>
            <w:rStyle w:val="Hyperlink"/>
            <w:rFonts w:ascii="Arial" w:hAnsi="Arial" w:cs="Arial"/>
            <w:b/>
            <w:sz w:val="24"/>
            <w:szCs w:val="24"/>
          </w:rPr>
          <w:t>jnoad@southribble.gov.uk</w:t>
        </w:r>
      </w:hyperlink>
    </w:p>
    <w:p w:rsidR="00D3134F" w:rsidRPr="00D3134F" w:rsidRDefault="005B6B49"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136A0" w:rsidTr="000B1F3A">
        <w:tc>
          <w:tcPr>
            <w:tcW w:w="9180" w:type="dxa"/>
          </w:tcPr>
          <w:p w:rsidR="00D3134F" w:rsidRPr="00D3134F" w:rsidRDefault="005B6B49" w:rsidP="00D3134F">
            <w:pPr>
              <w:pStyle w:val="Header"/>
              <w:rPr>
                <w:rFonts w:ascii="Arial" w:hAnsi="Arial" w:cs="Arial"/>
                <w:sz w:val="24"/>
                <w:szCs w:val="24"/>
              </w:rPr>
            </w:pPr>
          </w:p>
          <w:p w:rsidR="00D3134F" w:rsidRPr="00D3134F" w:rsidRDefault="00B43971" w:rsidP="00D3134F">
            <w:pPr>
              <w:pStyle w:val="Heading6"/>
              <w:spacing w:before="0" w:line="240" w:lineRule="auto"/>
              <w:rPr>
                <w:rFonts w:ascii="Arial" w:hAnsi="Arial" w:cs="Arial"/>
                <w:b/>
                <w:color w:val="auto"/>
              </w:rPr>
            </w:pPr>
            <w:r w:rsidRPr="00D3134F">
              <w:rPr>
                <w:rFonts w:ascii="Arial" w:hAnsi="Arial" w:cs="Arial"/>
                <w:b/>
                <w:color w:val="auto"/>
              </w:rPr>
              <w:t>Executive Summary</w:t>
            </w:r>
          </w:p>
          <w:p w:rsidR="00D3134F" w:rsidRPr="00D3134F" w:rsidRDefault="005B6B49" w:rsidP="00D3134F">
            <w:pPr>
              <w:spacing w:after="0" w:line="240" w:lineRule="auto"/>
              <w:rPr>
                <w:rFonts w:ascii="Arial" w:hAnsi="Arial" w:cs="Arial"/>
                <w:sz w:val="24"/>
                <w:szCs w:val="24"/>
              </w:rPr>
            </w:pPr>
          </w:p>
          <w:p w:rsidR="00947408" w:rsidRDefault="00947408" w:rsidP="00947408">
            <w:pPr>
              <w:spacing w:after="0" w:line="240" w:lineRule="auto"/>
              <w:rPr>
                <w:rFonts w:ascii="Arial" w:hAnsi="Arial" w:cs="Arial"/>
                <w:sz w:val="24"/>
                <w:szCs w:val="24"/>
              </w:rPr>
            </w:pPr>
            <w:r>
              <w:rPr>
                <w:rFonts w:ascii="Arial" w:hAnsi="Arial" w:cs="Arial"/>
                <w:sz w:val="24"/>
                <w:szCs w:val="24"/>
              </w:rPr>
              <w:t>This report is seeking the E&amp;SB's approval to undertake the detailed review of d</w:t>
            </w:r>
            <w:r w:rsidR="00B57B7B">
              <w:rPr>
                <w:rFonts w:ascii="Arial" w:hAnsi="Arial" w:cs="Arial"/>
                <w:sz w:val="24"/>
                <w:szCs w:val="24"/>
              </w:rPr>
              <w:t>evelopment sites</w:t>
            </w:r>
            <w:r>
              <w:rPr>
                <w:rFonts w:ascii="Arial" w:hAnsi="Arial" w:cs="Arial"/>
                <w:sz w:val="24"/>
                <w:szCs w:val="24"/>
              </w:rPr>
              <w:t xml:space="preserve"> requested at the last meeting, </w:t>
            </w:r>
            <w:r w:rsidR="00B57B7B">
              <w:rPr>
                <w:rFonts w:ascii="Arial" w:hAnsi="Arial" w:cs="Arial"/>
                <w:sz w:val="24"/>
                <w:szCs w:val="24"/>
              </w:rPr>
              <w:t>to coincide</w:t>
            </w:r>
            <w:r>
              <w:rPr>
                <w:rFonts w:ascii="Arial" w:hAnsi="Arial" w:cs="Arial"/>
                <w:sz w:val="24"/>
                <w:szCs w:val="24"/>
              </w:rPr>
              <w:t xml:space="preserve"> with the end of Year Monitoring process, in order to provide the most up to date and accurate information possible.  </w:t>
            </w:r>
          </w:p>
          <w:p w:rsidR="00947408" w:rsidRDefault="00947408" w:rsidP="00947408">
            <w:pPr>
              <w:spacing w:after="0" w:line="240" w:lineRule="auto"/>
              <w:rPr>
                <w:rFonts w:ascii="Arial" w:hAnsi="Arial" w:cs="Arial"/>
                <w:sz w:val="24"/>
                <w:szCs w:val="24"/>
              </w:rPr>
            </w:pPr>
          </w:p>
          <w:p w:rsidR="00947408" w:rsidRPr="00D3134F" w:rsidRDefault="00947408" w:rsidP="00947408">
            <w:pPr>
              <w:spacing w:after="0" w:line="240" w:lineRule="auto"/>
              <w:rPr>
                <w:rFonts w:ascii="Arial" w:hAnsi="Arial" w:cs="Arial"/>
                <w:sz w:val="24"/>
                <w:szCs w:val="24"/>
              </w:rPr>
            </w:pPr>
            <w:r>
              <w:rPr>
                <w:rFonts w:ascii="Arial" w:hAnsi="Arial" w:cs="Arial"/>
                <w:sz w:val="24"/>
                <w:szCs w:val="24"/>
              </w:rPr>
              <w:t xml:space="preserve">It was initially thought that the review of housing sites could be undertaken relatively quickly, but following </w:t>
            </w:r>
            <w:r w:rsidR="00504DBF">
              <w:rPr>
                <w:rFonts w:ascii="Arial" w:hAnsi="Arial" w:cs="Arial"/>
                <w:sz w:val="24"/>
                <w:szCs w:val="24"/>
              </w:rPr>
              <w:t>initial scoping of the work</w:t>
            </w:r>
            <w:r>
              <w:rPr>
                <w:rFonts w:ascii="Arial" w:hAnsi="Arial" w:cs="Arial"/>
                <w:sz w:val="24"/>
                <w:szCs w:val="24"/>
              </w:rPr>
              <w:t>, officers are requesting more time to properly assess each of the development sites in the programme against baseline forecasts and understand what is going on at the operational/commercial level.  By doing this, more meaningful information can be provided for the Board in relation to the consequential impact on the delivery and funding profile for City Deal.</w:t>
            </w:r>
          </w:p>
          <w:p w:rsidR="00947408" w:rsidRPr="00D3134F" w:rsidRDefault="00947408" w:rsidP="00947408">
            <w:pPr>
              <w:spacing w:after="0" w:line="240" w:lineRule="auto"/>
              <w:rPr>
                <w:rFonts w:ascii="Arial" w:hAnsi="Arial" w:cs="Arial"/>
                <w:sz w:val="24"/>
                <w:szCs w:val="24"/>
              </w:rPr>
            </w:pPr>
          </w:p>
          <w:p w:rsidR="00947408" w:rsidRPr="00C67AA6" w:rsidRDefault="00947408" w:rsidP="00947408">
            <w:pPr>
              <w:pStyle w:val="Heading5"/>
              <w:spacing w:before="0" w:line="240" w:lineRule="auto"/>
              <w:rPr>
                <w:rFonts w:ascii="Arial" w:hAnsi="Arial" w:cs="Arial"/>
                <w:b/>
                <w:color w:val="auto"/>
              </w:rPr>
            </w:pPr>
            <w:r w:rsidRPr="00D3134F">
              <w:rPr>
                <w:rFonts w:ascii="Arial" w:hAnsi="Arial" w:cs="Arial"/>
                <w:b/>
                <w:color w:val="auto"/>
              </w:rPr>
              <w:t>Recommendation</w:t>
            </w:r>
          </w:p>
          <w:p w:rsidR="00947408" w:rsidRDefault="00947408" w:rsidP="00947408">
            <w:pPr>
              <w:spacing w:after="0" w:line="240" w:lineRule="auto"/>
              <w:rPr>
                <w:rFonts w:ascii="Arial" w:hAnsi="Arial" w:cs="Arial"/>
                <w:sz w:val="24"/>
                <w:szCs w:val="24"/>
              </w:rPr>
            </w:pPr>
          </w:p>
          <w:p w:rsidR="00947408" w:rsidRPr="00D3134F" w:rsidRDefault="00947408" w:rsidP="00947408">
            <w:pPr>
              <w:spacing w:after="0" w:line="240" w:lineRule="auto"/>
              <w:rPr>
                <w:rFonts w:ascii="Arial" w:hAnsi="Arial" w:cs="Arial"/>
                <w:sz w:val="24"/>
                <w:szCs w:val="24"/>
              </w:rPr>
            </w:pPr>
            <w:r>
              <w:rPr>
                <w:rFonts w:ascii="Arial" w:hAnsi="Arial" w:cs="Arial"/>
                <w:sz w:val="24"/>
                <w:szCs w:val="24"/>
              </w:rPr>
              <w:t>That the request be approved and a detailed report on th</w:t>
            </w:r>
            <w:r w:rsidR="00765028">
              <w:rPr>
                <w:rFonts w:ascii="Arial" w:hAnsi="Arial" w:cs="Arial"/>
                <w:sz w:val="24"/>
                <w:szCs w:val="24"/>
              </w:rPr>
              <w:t>e delivery of the housing sites</w:t>
            </w:r>
            <w:bookmarkStart w:id="0" w:name="_GoBack"/>
            <w:bookmarkEnd w:id="0"/>
            <w:r>
              <w:rPr>
                <w:rFonts w:ascii="Arial" w:hAnsi="Arial" w:cs="Arial"/>
                <w:sz w:val="24"/>
                <w:szCs w:val="24"/>
              </w:rPr>
              <w:t xml:space="preserve"> be brought to the E&amp;SB meeting in June 2018.</w:t>
            </w:r>
          </w:p>
          <w:p w:rsidR="00D3134F" w:rsidRPr="00D3134F" w:rsidRDefault="005B6B49" w:rsidP="00947408">
            <w:pPr>
              <w:spacing w:after="0" w:line="240" w:lineRule="auto"/>
              <w:rPr>
                <w:rFonts w:ascii="Arial" w:hAnsi="Arial" w:cs="Arial"/>
                <w:sz w:val="24"/>
                <w:szCs w:val="24"/>
              </w:rPr>
            </w:pPr>
          </w:p>
        </w:tc>
      </w:tr>
    </w:tbl>
    <w:p w:rsidR="00D3134F" w:rsidRPr="00D3134F" w:rsidRDefault="005B6B49" w:rsidP="00D3134F">
      <w:pPr>
        <w:pStyle w:val="Header"/>
        <w:rPr>
          <w:rFonts w:ascii="Arial" w:hAnsi="Arial" w:cs="Arial"/>
          <w:sz w:val="24"/>
          <w:szCs w:val="24"/>
        </w:rPr>
      </w:pPr>
    </w:p>
    <w:p w:rsidR="00D3134F" w:rsidRPr="00D3134F" w:rsidRDefault="00B43971" w:rsidP="00D3134F">
      <w:pPr>
        <w:spacing w:after="0" w:line="240" w:lineRule="auto"/>
        <w:rPr>
          <w:rFonts w:ascii="Arial" w:hAnsi="Arial" w:cs="Arial"/>
          <w:b/>
          <w:sz w:val="24"/>
          <w:szCs w:val="24"/>
        </w:rPr>
      </w:pPr>
      <w:r w:rsidRPr="00D3134F">
        <w:rPr>
          <w:rFonts w:ascii="Arial" w:hAnsi="Arial" w:cs="Arial"/>
          <w:b/>
          <w:sz w:val="24"/>
          <w:szCs w:val="24"/>
        </w:rPr>
        <w:t xml:space="preserve">Background and Advice </w:t>
      </w:r>
    </w:p>
    <w:p w:rsidR="00D3134F" w:rsidRPr="00D3134F" w:rsidRDefault="005B6B49" w:rsidP="00D3134F">
      <w:pPr>
        <w:spacing w:after="0" w:line="240" w:lineRule="auto"/>
        <w:rPr>
          <w:rFonts w:ascii="Arial" w:hAnsi="Arial" w:cs="Arial"/>
          <w:b/>
          <w:sz w:val="24"/>
          <w:szCs w:val="24"/>
        </w:rPr>
      </w:pPr>
    </w:p>
    <w:p w:rsidR="00B43971" w:rsidRDefault="00B43971" w:rsidP="00B43971">
      <w:pPr>
        <w:spacing w:after="0" w:line="240" w:lineRule="auto"/>
        <w:rPr>
          <w:rFonts w:ascii="Arial" w:hAnsi="Arial" w:cs="Arial"/>
          <w:sz w:val="24"/>
          <w:szCs w:val="24"/>
        </w:rPr>
      </w:pPr>
      <w:r>
        <w:rPr>
          <w:rFonts w:ascii="Arial" w:hAnsi="Arial" w:cs="Arial"/>
          <w:sz w:val="24"/>
          <w:szCs w:val="24"/>
        </w:rPr>
        <w:t xml:space="preserve">At the November 2017 meeting, the Executive and Stewardship Board asked for further information regarding the progress of Development Sites within Preston and South Ribble.  Specifically, the E&amp;SB sought information relating to any significant blockages/constraints on these development sites and their impact on the City Deal delivery programme and finance model.  </w:t>
      </w:r>
    </w:p>
    <w:p w:rsidR="00B43971" w:rsidRDefault="00B43971" w:rsidP="00B43971">
      <w:pPr>
        <w:spacing w:after="0" w:line="240" w:lineRule="auto"/>
        <w:rPr>
          <w:rFonts w:ascii="Arial" w:hAnsi="Arial" w:cs="Arial"/>
          <w:sz w:val="24"/>
          <w:szCs w:val="24"/>
        </w:rPr>
      </w:pPr>
    </w:p>
    <w:p w:rsidR="00B43971" w:rsidRDefault="00B43971" w:rsidP="00B43971">
      <w:pPr>
        <w:spacing w:after="0" w:line="240" w:lineRule="auto"/>
        <w:rPr>
          <w:rFonts w:ascii="Arial" w:hAnsi="Arial" w:cs="Arial"/>
          <w:sz w:val="24"/>
          <w:szCs w:val="24"/>
        </w:rPr>
      </w:pPr>
      <w:r>
        <w:rPr>
          <w:rFonts w:ascii="Arial" w:hAnsi="Arial" w:cs="Arial"/>
          <w:sz w:val="24"/>
          <w:szCs w:val="24"/>
        </w:rPr>
        <w:t xml:space="preserve">Currently, in the programme there are in excess of 100 housing sites at varying degrees of development.  There is a huge variance across these sites, in terms of complexity, whether that is; location, land ownership, site constraints, viability, commercial considerations etc.  Initial </w:t>
      </w:r>
      <w:r w:rsidR="00B57B7B">
        <w:rPr>
          <w:rFonts w:ascii="Arial" w:hAnsi="Arial" w:cs="Arial"/>
          <w:sz w:val="24"/>
          <w:szCs w:val="24"/>
        </w:rPr>
        <w:t>scoping of</w:t>
      </w:r>
      <w:r>
        <w:rPr>
          <w:rFonts w:ascii="Arial" w:hAnsi="Arial" w:cs="Arial"/>
          <w:sz w:val="24"/>
          <w:szCs w:val="24"/>
        </w:rPr>
        <w:t xml:space="preserve"> the proposed review work has </w:t>
      </w:r>
      <w:r>
        <w:rPr>
          <w:rFonts w:ascii="Arial" w:hAnsi="Arial" w:cs="Arial"/>
          <w:sz w:val="24"/>
          <w:szCs w:val="24"/>
        </w:rPr>
        <w:lastRenderedPageBreak/>
        <w:t xml:space="preserve">revealed that more time is required in order to undertake a meaningful analysis and provide the E&amp;SB with the information required.  </w:t>
      </w:r>
    </w:p>
    <w:p w:rsidR="00B43971" w:rsidRDefault="00B43971" w:rsidP="00B43971">
      <w:pPr>
        <w:spacing w:after="0" w:line="240" w:lineRule="auto"/>
        <w:rPr>
          <w:rFonts w:ascii="Arial" w:hAnsi="Arial" w:cs="Arial"/>
          <w:sz w:val="24"/>
          <w:szCs w:val="24"/>
        </w:rPr>
      </w:pPr>
    </w:p>
    <w:p w:rsidR="00B43971" w:rsidRPr="00661E12" w:rsidRDefault="00B43971" w:rsidP="00B43971">
      <w:pPr>
        <w:spacing w:after="0" w:line="240" w:lineRule="auto"/>
        <w:rPr>
          <w:rFonts w:ascii="Arial" w:hAnsi="Arial" w:cs="Arial"/>
          <w:sz w:val="24"/>
          <w:szCs w:val="24"/>
        </w:rPr>
      </w:pPr>
      <w:r w:rsidRPr="00661E12">
        <w:rPr>
          <w:rFonts w:ascii="Arial" w:hAnsi="Arial" w:cs="Arial"/>
          <w:sz w:val="24"/>
          <w:szCs w:val="24"/>
        </w:rPr>
        <w:t>The E&amp;SB will be aware that the housing and commercial sites are monitored every six months and performance information reported both to the Board and to Government.  In March, all of the end of year housing counts will commence and it is proposed to use this information</w:t>
      </w:r>
      <w:r>
        <w:rPr>
          <w:rFonts w:ascii="Arial" w:hAnsi="Arial" w:cs="Arial"/>
          <w:sz w:val="24"/>
          <w:szCs w:val="24"/>
        </w:rPr>
        <w:t xml:space="preserve"> in order to identify which sites require further investigation when compared with the baseline forecasts.</w:t>
      </w:r>
    </w:p>
    <w:p w:rsidR="00B43971" w:rsidRDefault="00B43971" w:rsidP="00B43971">
      <w:pPr>
        <w:pStyle w:val="NoSpacing"/>
        <w:jc w:val="both"/>
        <w:rPr>
          <w:rFonts w:cs="Arial"/>
          <w:szCs w:val="24"/>
        </w:rPr>
      </w:pPr>
    </w:p>
    <w:p w:rsidR="00B43971" w:rsidRPr="00661E12" w:rsidRDefault="00B43971" w:rsidP="00B43971">
      <w:pPr>
        <w:pStyle w:val="NoSpacing"/>
        <w:jc w:val="both"/>
        <w:rPr>
          <w:rFonts w:cs="Arial"/>
          <w:b/>
          <w:szCs w:val="24"/>
        </w:rPr>
      </w:pPr>
      <w:r w:rsidRPr="00661E12">
        <w:rPr>
          <w:rFonts w:cs="Arial"/>
          <w:b/>
          <w:szCs w:val="24"/>
        </w:rPr>
        <w:t>Development Sites Delivery Group</w:t>
      </w:r>
    </w:p>
    <w:p w:rsidR="00B43971" w:rsidRDefault="00B43971" w:rsidP="00B43971">
      <w:pPr>
        <w:pStyle w:val="NoSpacing"/>
        <w:jc w:val="both"/>
        <w:rPr>
          <w:rFonts w:cs="Arial"/>
          <w:szCs w:val="24"/>
        </w:rPr>
      </w:pPr>
    </w:p>
    <w:p w:rsidR="00B43971" w:rsidRDefault="00B43971" w:rsidP="00B43971">
      <w:pPr>
        <w:pStyle w:val="NoSpacing"/>
        <w:jc w:val="both"/>
        <w:rPr>
          <w:rFonts w:cs="Arial"/>
          <w:szCs w:val="24"/>
        </w:rPr>
      </w:pPr>
      <w:r>
        <w:rPr>
          <w:rFonts w:cs="Arial"/>
          <w:szCs w:val="24"/>
        </w:rPr>
        <w:t>Since early 2017 a Development Sites Delivery Group has been formed as part of City Deal to sit alongside the Infrastructure Delivery Steering Group. This group meets regularly with a focus on the following:</w:t>
      </w:r>
    </w:p>
    <w:p w:rsidR="00B43971" w:rsidRPr="00A94551" w:rsidRDefault="00B43971" w:rsidP="00B43971">
      <w:pPr>
        <w:pStyle w:val="NoSpacing"/>
        <w:jc w:val="both"/>
        <w:rPr>
          <w:rFonts w:cs="Arial"/>
          <w:szCs w:val="24"/>
        </w:rPr>
      </w:pPr>
    </w:p>
    <w:p w:rsidR="00B43971" w:rsidRDefault="00B43971" w:rsidP="00B43971">
      <w:pPr>
        <w:pStyle w:val="ListParagraph"/>
        <w:numPr>
          <w:ilvl w:val="0"/>
          <w:numId w:val="5"/>
        </w:numPr>
        <w:spacing w:after="0" w:line="240" w:lineRule="auto"/>
        <w:ind w:left="567" w:hanging="567"/>
        <w:rPr>
          <w:rFonts w:ascii="Arial" w:hAnsi="Arial" w:cs="Arial"/>
          <w:sz w:val="24"/>
          <w:szCs w:val="24"/>
        </w:rPr>
      </w:pPr>
      <w:r w:rsidRPr="00A94551">
        <w:rPr>
          <w:rFonts w:ascii="Arial" w:hAnsi="Arial" w:cs="Arial"/>
          <w:sz w:val="24"/>
          <w:szCs w:val="24"/>
        </w:rPr>
        <w:t xml:space="preserve">To </w:t>
      </w:r>
      <w:r>
        <w:rPr>
          <w:rFonts w:ascii="Arial" w:hAnsi="Arial" w:cs="Arial"/>
          <w:sz w:val="24"/>
          <w:szCs w:val="24"/>
        </w:rPr>
        <w:t>assess the performance of development sites across the City Deal area, utilising intelligence from a range of sources including the outputs from the city deal monitoring and evaluation group to evaluate performance.</w:t>
      </w:r>
      <w:r w:rsidRPr="00A94551" w:rsidDel="007D61DF">
        <w:rPr>
          <w:rFonts w:ascii="Arial" w:hAnsi="Arial" w:cs="Arial"/>
          <w:sz w:val="24"/>
          <w:szCs w:val="24"/>
        </w:rPr>
        <w:t xml:space="preserve"> </w:t>
      </w:r>
    </w:p>
    <w:p w:rsidR="00B43971" w:rsidRDefault="00B43971" w:rsidP="00B43971">
      <w:pPr>
        <w:pStyle w:val="ListParagraph"/>
        <w:numPr>
          <w:ilvl w:val="0"/>
          <w:numId w:val="5"/>
        </w:numPr>
        <w:spacing w:after="0" w:line="240" w:lineRule="auto"/>
        <w:ind w:left="567" w:hanging="567"/>
        <w:rPr>
          <w:rFonts w:ascii="Arial" w:hAnsi="Arial" w:cs="Arial"/>
          <w:sz w:val="24"/>
          <w:szCs w:val="24"/>
        </w:rPr>
      </w:pPr>
      <w:r w:rsidRPr="00A94551">
        <w:rPr>
          <w:rFonts w:ascii="Arial" w:hAnsi="Arial" w:cs="Arial"/>
          <w:sz w:val="24"/>
          <w:szCs w:val="24"/>
        </w:rPr>
        <w:t xml:space="preserve">To identify key planning issues arising in relation to the delivery of housing and </w:t>
      </w:r>
      <w:r>
        <w:rPr>
          <w:rFonts w:ascii="Arial" w:hAnsi="Arial" w:cs="Arial"/>
          <w:sz w:val="24"/>
          <w:szCs w:val="24"/>
        </w:rPr>
        <w:t>employment sites;</w:t>
      </w:r>
    </w:p>
    <w:p w:rsidR="00B43971" w:rsidRDefault="00B43971" w:rsidP="00B43971">
      <w:pPr>
        <w:pStyle w:val="ListParagraph"/>
        <w:numPr>
          <w:ilvl w:val="0"/>
          <w:numId w:val="5"/>
        </w:numPr>
        <w:spacing w:after="0" w:line="240" w:lineRule="auto"/>
        <w:ind w:left="567" w:hanging="567"/>
        <w:rPr>
          <w:rFonts w:ascii="Arial" w:hAnsi="Arial" w:cs="Arial"/>
          <w:sz w:val="24"/>
          <w:szCs w:val="24"/>
        </w:rPr>
      </w:pPr>
      <w:r w:rsidRPr="00A94551">
        <w:rPr>
          <w:rFonts w:ascii="Arial" w:hAnsi="Arial" w:cs="Arial"/>
          <w:sz w:val="24"/>
          <w:szCs w:val="24"/>
        </w:rPr>
        <w:t>To act as appropriate to address these issues and to identify and report those which represent sig</w:t>
      </w:r>
      <w:r>
        <w:rPr>
          <w:rFonts w:ascii="Arial" w:hAnsi="Arial" w:cs="Arial"/>
          <w:sz w:val="24"/>
          <w:szCs w:val="24"/>
        </w:rPr>
        <w:t>nificant risks to the programme;</w:t>
      </w:r>
    </w:p>
    <w:p w:rsidR="00B43971" w:rsidRDefault="00B43971" w:rsidP="00B43971">
      <w:pPr>
        <w:pStyle w:val="ListParagraph"/>
        <w:numPr>
          <w:ilvl w:val="0"/>
          <w:numId w:val="5"/>
        </w:numPr>
        <w:spacing w:after="0" w:line="240" w:lineRule="auto"/>
        <w:ind w:left="567" w:hanging="567"/>
        <w:rPr>
          <w:rFonts w:ascii="Arial" w:hAnsi="Arial" w:cs="Arial"/>
          <w:sz w:val="24"/>
          <w:szCs w:val="24"/>
        </w:rPr>
      </w:pPr>
      <w:r w:rsidRPr="00A94551">
        <w:rPr>
          <w:rFonts w:ascii="Arial" w:hAnsi="Arial" w:cs="Arial"/>
          <w:sz w:val="24"/>
          <w:szCs w:val="24"/>
        </w:rPr>
        <w:t xml:space="preserve">To identify, report and respond to national and local planning policy changes and other initiatives that </w:t>
      </w:r>
      <w:r>
        <w:rPr>
          <w:rFonts w:ascii="Arial" w:hAnsi="Arial" w:cs="Arial"/>
          <w:sz w:val="24"/>
          <w:szCs w:val="24"/>
        </w:rPr>
        <w:t>could impact on City Deal;</w:t>
      </w:r>
    </w:p>
    <w:p w:rsidR="00B43971" w:rsidRPr="00A94551" w:rsidRDefault="00B43971" w:rsidP="00B43971">
      <w:pPr>
        <w:pStyle w:val="ListParagraph"/>
        <w:numPr>
          <w:ilvl w:val="0"/>
          <w:numId w:val="5"/>
        </w:numPr>
        <w:spacing w:after="0" w:line="240" w:lineRule="auto"/>
        <w:ind w:left="567" w:hanging="567"/>
        <w:rPr>
          <w:rFonts w:ascii="Arial" w:hAnsi="Arial" w:cs="Arial"/>
          <w:sz w:val="24"/>
          <w:szCs w:val="24"/>
        </w:rPr>
      </w:pPr>
      <w:r w:rsidRPr="00A94551">
        <w:rPr>
          <w:rFonts w:ascii="Arial" w:hAnsi="Arial" w:cs="Arial"/>
          <w:sz w:val="24"/>
          <w:szCs w:val="24"/>
        </w:rPr>
        <w:t>To engage effectively with private sector develope</w:t>
      </w:r>
      <w:r>
        <w:rPr>
          <w:rFonts w:ascii="Arial" w:hAnsi="Arial" w:cs="Arial"/>
          <w:sz w:val="24"/>
          <w:szCs w:val="24"/>
        </w:rPr>
        <w:t>rs and the housebuilding sector.</w:t>
      </w:r>
    </w:p>
    <w:p w:rsidR="00B43971" w:rsidRDefault="00B43971" w:rsidP="00B43971">
      <w:pPr>
        <w:pStyle w:val="NoSpacing"/>
        <w:jc w:val="both"/>
        <w:rPr>
          <w:rFonts w:cs="Arial"/>
          <w:szCs w:val="24"/>
        </w:rPr>
      </w:pPr>
    </w:p>
    <w:p w:rsidR="00B43971" w:rsidRDefault="00B43971" w:rsidP="00B43971">
      <w:pPr>
        <w:pStyle w:val="NoSpacing"/>
        <w:jc w:val="both"/>
        <w:rPr>
          <w:rFonts w:cs="Arial"/>
          <w:szCs w:val="24"/>
        </w:rPr>
      </w:pPr>
      <w:r>
        <w:rPr>
          <w:rFonts w:cs="Arial"/>
          <w:szCs w:val="24"/>
        </w:rPr>
        <w:t>To date this Group has focussed on identifying practical and operational solutions to sit</w:t>
      </w:r>
      <w:r w:rsidR="00B57B7B">
        <w:rPr>
          <w:rFonts w:cs="Arial"/>
          <w:szCs w:val="24"/>
        </w:rPr>
        <w:t>e specific issues i.e. planning conditions</w:t>
      </w:r>
      <w:r>
        <w:rPr>
          <w:rFonts w:cs="Arial"/>
          <w:szCs w:val="24"/>
        </w:rPr>
        <w:t>.  The Group is however, well placed to oversee this more strategic piece of work and working with consultants (to be appointed using the Homes England Capacity Funding) bring forward recommendations to the Board.</w:t>
      </w:r>
    </w:p>
    <w:p w:rsidR="00B43971" w:rsidRDefault="00B43971" w:rsidP="00B43971">
      <w:pPr>
        <w:pStyle w:val="NoSpacing"/>
        <w:jc w:val="both"/>
        <w:rPr>
          <w:rFonts w:cs="Arial"/>
          <w:szCs w:val="24"/>
        </w:rPr>
      </w:pPr>
    </w:p>
    <w:p w:rsidR="00B43971" w:rsidRPr="00582D0A" w:rsidRDefault="00B43971" w:rsidP="00B43971">
      <w:pPr>
        <w:pStyle w:val="NoSpacing"/>
        <w:jc w:val="both"/>
        <w:rPr>
          <w:rFonts w:cs="Arial"/>
          <w:b/>
          <w:szCs w:val="24"/>
        </w:rPr>
      </w:pPr>
      <w:r w:rsidRPr="00582D0A">
        <w:rPr>
          <w:rFonts w:cs="Arial"/>
          <w:b/>
          <w:szCs w:val="24"/>
        </w:rPr>
        <w:t>Proposed Housing Site Review</w:t>
      </w:r>
    </w:p>
    <w:p w:rsidR="00B43971" w:rsidRDefault="00B43971" w:rsidP="00B43971">
      <w:pPr>
        <w:pStyle w:val="NoSpacing"/>
        <w:jc w:val="both"/>
        <w:rPr>
          <w:rFonts w:cs="Arial"/>
          <w:szCs w:val="24"/>
        </w:rPr>
      </w:pPr>
    </w:p>
    <w:p w:rsidR="00B43971" w:rsidRDefault="00B57B7B" w:rsidP="00B43971">
      <w:pPr>
        <w:pStyle w:val="NoSpacing"/>
        <w:jc w:val="both"/>
        <w:rPr>
          <w:rFonts w:cs="Arial"/>
          <w:szCs w:val="24"/>
        </w:rPr>
      </w:pPr>
      <w:r>
        <w:rPr>
          <w:rFonts w:cs="Arial"/>
          <w:szCs w:val="24"/>
        </w:rPr>
        <w:t xml:space="preserve">A </w:t>
      </w:r>
      <w:r w:rsidR="00B43971">
        <w:rPr>
          <w:rFonts w:cs="Arial"/>
          <w:szCs w:val="24"/>
        </w:rPr>
        <w:t>sub group of the Development Sites Delivery Group will</w:t>
      </w:r>
      <w:r>
        <w:rPr>
          <w:rFonts w:cs="Arial"/>
          <w:szCs w:val="24"/>
        </w:rPr>
        <w:t xml:space="preserve"> be used to</w:t>
      </w:r>
      <w:r w:rsidR="00B43971">
        <w:rPr>
          <w:rFonts w:cs="Arial"/>
          <w:szCs w:val="24"/>
        </w:rPr>
        <w:t xml:space="preserve"> oversee the </w:t>
      </w:r>
      <w:r>
        <w:rPr>
          <w:rFonts w:cs="Arial"/>
          <w:szCs w:val="24"/>
        </w:rPr>
        <w:t>work and</w:t>
      </w:r>
      <w:r w:rsidR="00B43971">
        <w:rPr>
          <w:rFonts w:cs="Arial"/>
          <w:szCs w:val="24"/>
        </w:rPr>
        <w:t xml:space="preserve"> to produce a detailed report to the Executive and Stewardship Board on 28</w:t>
      </w:r>
      <w:r w:rsidR="00B43971" w:rsidRPr="00F62ECC">
        <w:rPr>
          <w:rFonts w:cs="Arial"/>
          <w:szCs w:val="24"/>
          <w:vertAlign w:val="superscript"/>
        </w:rPr>
        <w:t>th</w:t>
      </w:r>
      <w:r w:rsidR="00B43971">
        <w:rPr>
          <w:rFonts w:cs="Arial"/>
          <w:szCs w:val="24"/>
        </w:rPr>
        <w:t xml:space="preserve"> June 2018. To some extent each development site has its own problems to find solutions to, but the group will also identify and assess common/recurring issues across the sites. </w:t>
      </w:r>
    </w:p>
    <w:p w:rsidR="00B43971" w:rsidRDefault="00B43971" w:rsidP="00B43971">
      <w:pPr>
        <w:pStyle w:val="NoSpacing"/>
        <w:jc w:val="both"/>
        <w:rPr>
          <w:rFonts w:cs="Arial"/>
          <w:szCs w:val="24"/>
        </w:rPr>
      </w:pPr>
    </w:p>
    <w:p w:rsidR="00B43971" w:rsidRDefault="00B43971" w:rsidP="00B43971">
      <w:pPr>
        <w:pStyle w:val="NoSpacing"/>
        <w:jc w:val="both"/>
        <w:rPr>
          <w:rFonts w:cs="Arial"/>
          <w:szCs w:val="24"/>
        </w:rPr>
      </w:pPr>
      <w:r>
        <w:rPr>
          <w:rFonts w:cs="Arial"/>
          <w:szCs w:val="24"/>
        </w:rPr>
        <w:t xml:space="preserve">Detailed work will be undertaken, involving all partners, particularly planning and finance officers to prepare a site by site assessment of recent and anticipated future performance both in relation to outputs and finance.  This will determine how sites have performed against previous baseline forecasts and how they are expected to perform going forward.    This exercise will identify key risk sites.  The report will </w:t>
      </w:r>
      <w:r>
        <w:rPr>
          <w:rFonts w:cs="Arial"/>
          <w:szCs w:val="24"/>
        </w:rPr>
        <w:lastRenderedPageBreak/>
        <w:t>explore the feasibility of options aimed at addressing site issues where possible and make recommendations for action in order to move sites forward.</w:t>
      </w:r>
    </w:p>
    <w:p w:rsidR="00B43971" w:rsidRDefault="00B43971" w:rsidP="00B43971">
      <w:pPr>
        <w:pStyle w:val="NoSpacing"/>
        <w:jc w:val="both"/>
        <w:rPr>
          <w:rFonts w:cs="Arial"/>
          <w:szCs w:val="24"/>
        </w:rPr>
      </w:pPr>
    </w:p>
    <w:p w:rsidR="00B43971" w:rsidRDefault="00B43971" w:rsidP="00B43971">
      <w:pPr>
        <w:pStyle w:val="NoSpacing"/>
        <w:jc w:val="both"/>
        <w:rPr>
          <w:rFonts w:cs="Arial"/>
          <w:szCs w:val="24"/>
        </w:rPr>
      </w:pPr>
      <w:r>
        <w:rPr>
          <w:rFonts w:cs="Arial"/>
          <w:szCs w:val="24"/>
        </w:rPr>
        <w:t>In summary the final report will address the following:</w:t>
      </w:r>
    </w:p>
    <w:p w:rsidR="00B43971" w:rsidRPr="00452B98" w:rsidRDefault="00B43971" w:rsidP="00B43971">
      <w:pPr>
        <w:spacing w:after="0" w:line="240" w:lineRule="auto"/>
        <w:rPr>
          <w:rFonts w:ascii="Arial" w:hAnsi="Arial" w:cs="Arial"/>
          <w:sz w:val="24"/>
          <w:szCs w:val="24"/>
        </w:rPr>
      </w:pPr>
    </w:p>
    <w:p w:rsidR="00B43971" w:rsidRDefault="00B43971" w:rsidP="00B43971">
      <w:pPr>
        <w:pStyle w:val="ListParagraph"/>
        <w:numPr>
          <w:ilvl w:val="0"/>
          <w:numId w:val="6"/>
        </w:numPr>
        <w:spacing w:after="0" w:line="240" w:lineRule="auto"/>
        <w:ind w:left="567" w:hanging="567"/>
        <w:contextualSpacing w:val="0"/>
        <w:rPr>
          <w:rFonts w:ascii="Arial" w:hAnsi="Arial" w:cs="Arial"/>
          <w:sz w:val="24"/>
          <w:szCs w:val="24"/>
        </w:rPr>
      </w:pPr>
      <w:r>
        <w:rPr>
          <w:rFonts w:ascii="Arial" w:hAnsi="Arial" w:cs="Arial"/>
          <w:sz w:val="24"/>
          <w:szCs w:val="24"/>
        </w:rPr>
        <w:t>Set out</w:t>
      </w:r>
      <w:r w:rsidRPr="00452B98">
        <w:rPr>
          <w:rFonts w:ascii="Arial" w:hAnsi="Arial" w:cs="Arial"/>
          <w:sz w:val="24"/>
          <w:szCs w:val="24"/>
        </w:rPr>
        <w:t xml:space="preserve"> the context of </w:t>
      </w:r>
      <w:r>
        <w:rPr>
          <w:rFonts w:ascii="Arial" w:hAnsi="Arial" w:cs="Arial"/>
          <w:sz w:val="24"/>
          <w:szCs w:val="24"/>
        </w:rPr>
        <w:t>City Deal</w:t>
      </w:r>
      <w:r w:rsidRPr="00452B98">
        <w:rPr>
          <w:rFonts w:ascii="Arial" w:hAnsi="Arial" w:cs="Arial"/>
          <w:sz w:val="24"/>
          <w:szCs w:val="24"/>
        </w:rPr>
        <w:t xml:space="preserve"> housing delivery </w:t>
      </w:r>
      <w:r>
        <w:rPr>
          <w:rFonts w:ascii="Arial" w:hAnsi="Arial" w:cs="Arial"/>
          <w:sz w:val="24"/>
          <w:szCs w:val="24"/>
        </w:rPr>
        <w:t>to date</w:t>
      </w:r>
    </w:p>
    <w:p w:rsidR="00B43971" w:rsidRDefault="00B43971" w:rsidP="00B43971">
      <w:pPr>
        <w:pStyle w:val="ListParagraph"/>
        <w:numPr>
          <w:ilvl w:val="0"/>
          <w:numId w:val="6"/>
        </w:numPr>
        <w:spacing w:after="0" w:line="240" w:lineRule="auto"/>
        <w:ind w:left="567" w:hanging="567"/>
        <w:contextualSpacing w:val="0"/>
        <w:rPr>
          <w:rFonts w:ascii="Arial" w:hAnsi="Arial" w:cs="Arial"/>
          <w:sz w:val="24"/>
          <w:szCs w:val="24"/>
        </w:rPr>
      </w:pPr>
      <w:r>
        <w:rPr>
          <w:rFonts w:ascii="Arial" w:hAnsi="Arial" w:cs="Arial"/>
          <w:sz w:val="24"/>
          <w:szCs w:val="24"/>
        </w:rPr>
        <w:t xml:space="preserve">Provide a realistic forward </w:t>
      </w:r>
      <w:r w:rsidRPr="00452B98">
        <w:rPr>
          <w:rFonts w:ascii="Arial" w:hAnsi="Arial" w:cs="Arial"/>
          <w:sz w:val="24"/>
          <w:szCs w:val="24"/>
        </w:rPr>
        <w:t xml:space="preserve">trajectory </w:t>
      </w:r>
      <w:r>
        <w:rPr>
          <w:rFonts w:ascii="Arial" w:hAnsi="Arial" w:cs="Arial"/>
          <w:sz w:val="24"/>
          <w:szCs w:val="24"/>
        </w:rPr>
        <w:t>of predicted delivery to the end of the City Deal (to be kept under review at agreed intervals)</w:t>
      </w:r>
    </w:p>
    <w:p w:rsidR="00B43971" w:rsidRDefault="00B43971" w:rsidP="00B43971">
      <w:pPr>
        <w:pStyle w:val="ListParagraph"/>
        <w:numPr>
          <w:ilvl w:val="0"/>
          <w:numId w:val="6"/>
        </w:numPr>
        <w:spacing w:after="0" w:line="240" w:lineRule="auto"/>
        <w:ind w:left="567" w:hanging="567"/>
        <w:contextualSpacing w:val="0"/>
        <w:rPr>
          <w:rFonts w:ascii="Arial" w:hAnsi="Arial" w:cs="Arial"/>
          <w:sz w:val="24"/>
          <w:szCs w:val="24"/>
        </w:rPr>
      </w:pPr>
      <w:r>
        <w:rPr>
          <w:rFonts w:ascii="Arial" w:hAnsi="Arial" w:cs="Arial"/>
          <w:sz w:val="24"/>
          <w:szCs w:val="24"/>
        </w:rPr>
        <w:t>Align the City Deal income trajectory to the proposed delivery trajectory</w:t>
      </w:r>
    </w:p>
    <w:p w:rsidR="00B43971" w:rsidRPr="00452B98" w:rsidRDefault="00B43971" w:rsidP="00B43971">
      <w:pPr>
        <w:pStyle w:val="ListParagraph"/>
        <w:numPr>
          <w:ilvl w:val="0"/>
          <w:numId w:val="6"/>
        </w:numPr>
        <w:spacing w:after="0" w:line="240" w:lineRule="auto"/>
        <w:ind w:left="567" w:hanging="567"/>
        <w:contextualSpacing w:val="0"/>
        <w:rPr>
          <w:rFonts w:ascii="Arial" w:hAnsi="Arial" w:cs="Arial"/>
          <w:sz w:val="24"/>
          <w:szCs w:val="24"/>
        </w:rPr>
      </w:pPr>
      <w:r w:rsidRPr="00452B98">
        <w:rPr>
          <w:rFonts w:ascii="Arial" w:hAnsi="Arial" w:cs="Arial"/>
          <w:sz w:val="24"/>
          <w:szCs w:val="24"/>
        </w:rPr>
        <w:t>Demonstrate how the</w:t>
      </w:r>
      <w:r>
        <w:rPr>
          <w:rFonts w:ascii="Arial" w:hAnsi="Arial" w:cs="Arial"/>
          <w:sz w:val="24"/>
          <w:szCs w:val="24"/>
        </w:rPr>
        <w:t>se</w:t>
      </w:r>
      <w:r w:rsidRPr="00452B98">
        <w:rPr>
          <w:rFonts w:ascii="Arial" w:hAnsi="Arial" w:cs="Arial"/>
          <w:sz w:val="24"/>
          <w:szCs w:val="24"/>
        </w:rPr>
        <w:t xml:space="preserve"> trajectories </w:t>
      </w:r>
      <w:r>
        <w:rPr>
          <w:rFonts w:ascii="Arial" w:hAnsi="Arial" w:cs="Arial"/>
          <w:sz w:val="24"/>
          <w:szCs w:val="24"/>
        </w:rPr>
        <w:t>compare to</w:t>
      </w:r>
      <w:r w:rsidRPr="00452B98">
        <w:rPr>
          <w:rFonts w:ascii="Arial" w:hAnsi="Arial" w:cs="Arial"/>
          <w:sz w:val="24"/>
          <w:szCs w:val="24"/>
        </w:rPr>
        <w:t xml:space="preserve"> the original forecasts </w:t>
      </w:r>
      <w:r>
        <w:rPr>
          <w:rFonts w:ascii="Arial" w:hAnsi="Arial" w:cs="Arial"/>
          <w:sz w:val="24"/>
          <w:szCs w:val="24"/>
        </w:rPr>
        <w:t>at the start of City Deal in order to better understand how the model has performed to date.</w:t>
      </w:r>
    </w:p>
    <w:p w:rsidR="00B43971" w:rsidRDefault="00B43971" w:rsidP="00B43971">
      <w:pPr>
        <w:pStyle w:val="ListParagraph"/>
        <w:numPr>
          <w:ilvl w:val="0"/>
          <w:numId w:val="6"/>
        </w:numPr>
        <w:spacing w:after="0" w:line="240" w:lineRule="auto"/>
        <w:ind w:left="567" w:hanging="567"/>
        <w:contextualSpacing w:val="0"/>
        <w:rPr>
          <w:rFonts w:ascii="Arial" w:hAnsi="Arial" w:cs="Arial"/>
          <w:sz w:val="24"/>
          <w:szCs w:val="24"/>
        </w:rPr>
      </w:pPr>
      <w:r w:rsidRPr="00452B98">
        <w:rPr>
          <w:rFonts w:ascii="Arial" w:hAnsi="Arial" w:cs="Arial"/>
          <w:sz w:val="24"/>
          <w:szCs w:val="24"/>
        </w:rPr>
        <w:t xml:space="preserve">Provide the Board with a </w:t>
      </w:r>
      <w:r>
        <w:rPr>
          <w:rFonts w:ascii="Arial" w:hAnsi="Arial" w:cs="Arial"/>
          <w:sz w:val="24"/>
          <w:szCs w:val="24"/>
        </w:rPr>
        <w:t xml:space="preserve">view on the degree of risk City Deal is </w:t>
      </w:r>
      <w:r w:rsidRPr="00452B98">
        <w:rPr>
          <w:rFonts w:ascii="Arial" w:hAnsi="Arial" w:cs="Arial"/>
          <w:sz w:val="24"/>
          <w:szCs w:val="24"/>
        </w:rPr>
        <w:t>carrying on the sites overall</w:t>
      </w:r>
    </w:p>
    <w:p w:rsidR="00B43971" w:rsidRDefault="00B43971" w:rsidP="00B43971">
      <w:pPr>
        <w:pStyle w:val="ListParagraph"/>
        <w:numPr>
          <w:ilvl w:val="0"/>
          <w:numId w:val="6"/>
        </w:numPr>
        <w:spacing w:after="0" w:line="240" w:lineRule="auto"/>
        <w:ind w:left="567" w:hanging="567"/>
        <w:contextualSpacing w:val="0"/>
        <w:rPr>
          <w:rFonts w:ascii="Arial" w:hAnsi="Arial" w:cs="Arial"/>
          <w:sz w:val="24"/>
          <w:szCs w:val="24"/>
        </w:rPr>
      </w:pPr>
      <w:r w:rsidRPr="00452B98">
        <w:rPr>
          <w:rFonts w:ascii="Arial" w:hAnsi="Arial" w:cs="Arial"/>
          <w:sz w:val="24"/>
          <w:szCs w:val="24"/>
        </w:rPr>
        <w:t>Filter and provide more information on the top ten sites that have the greatest impact on City Deal either due to their level of risk or the amount of financial contribution into City Deal</w:t>
      </w:r>
    </w:p>
    <w:p w:rsidR="00B43971" w:rsidRDefault="00B43971" w:rsidP="00B43971">
      <w:pPr>
        <w:pStyle w:val="ListParagraph"/>
        <w:numPr>
          <w:ilvl w:val="0"/>
          <w:numId w:val="6"/>
        </w:numPr>
        <w:spacing w:after="0" w:line="240" w:lineRule="auto"/>
        <w:ind w:left="567" w:hanging="567"/>
        <w:contextualSpacing w:val="0"/>
        <w:rPr>
          <w:rFonts w:ascii="Arial" w:hAnsi="Arial" w:cs="Arial"/>
          <w:sz w:val="24"/>
          <w:szCs w:val="24"/>
        </w:rPr>
      </w:pPr>
      <w:r w:rsidRPr="007D045F">
        <w:rPr>
          <w:rFonts w:ascii="Arial" w:hAnsi="Arial" w:cs="Arial"/>
          <w:sz w:val="24"/>
          <w:szCs w:val="24"/>
        </w:rPr>
        <w:t xml:space="preserve">Identify solutions to resolve the issues on the top ten sites </w:t>
      </w:r>
    </w:p>
    <w:p w:rsidR="00B43971" w:rsidRPr="007D045F" w:rsidRDefault="00B43971" w:rsidP="00B43971">
      <w:pPr>
        <w:pStyle w:val="ListParagraph"/>
        <w:numPr>
          <w:ilvl w:val="0"/>
          <w:numId w:val="6"/>
        </w:numPr>
        <w:spacing w:after="0" w:line="240" w:lineRule="auto"/>
        <w:ind w:left="567" w:hanging="567"/>
        <w:contextualSpacing w:val="0"/>
        <w:rPr>
          <w:rFonts w:ascii="Arial" w:hAnsi="Arial" w:cs="Arial"/>
          <w:sz w:val="24"/>
          <w:szCs w:val="24"/>
        </w:rPr>
      </w:pPr>
      <w:r w:rsidRPr="007D045F">
        <w:rPr>
          <w:rFonts w:ascii="Arial" w:hAnsi="Arial" w:cs="Arial"/>
          <w:sz w:val="24"/>
          <w:szCs w:val="24"/>
        </w:rPr>
        <w:t>Provide relevant housing and financial forecasts to feed into the wider City Deal Review</w:t>
      </w:r>
    </w:p>
    <w:p w:rsidR="00B43971" w:rsidRDefault="00B43971" w:rsidP="00B43971">
      <w:pPr>
        <w:pStyle w:val="NoSpacing"/>
        <w:ind w:left="567" w:hanging="567"/>
        <w:jc w:val="both"/>
        <w:rPr>
          <w:rFonts w:cs="Arial"/>
          <w:szCs w:val="24"/>
        </w:rPr>
      </w:pPr>
    </w:p>
    <w:p w:rsidR="00B43971" w:rsidRPr="00452B98" w:rsidRDefault="00B43971" w:rsidP="00B43971">
      <w:pPr>
        <w:pStyle w:val="NoSpacing"/>
        <w:jc w:val="both"/>
        <w:rPr>
          <w:rFonts w:cs="Arial"/>
          <w:szCs w:val="24"/>
        </w:rPr>
      </w:pPr>
      <w:r>
        <w:rPr>
          <w:rFonts w:cs="Arial"/>
          <w:szCs w:val="24"/>
        </w:rPr>
        <w:t>Officers would welcome the views of the Executive and Stewardship Board if any additional information to that outlined above is required.</w:t>
      </w:r>
    </w:p>
    <w:p w:rsidR="00D3134F" w:rsidRPr="00D3134F" w:rsidRDefault="005B6B49" w:rsidP="00D3134F">
      <w:pPr>
        <w:spacing w:after="0" w:line="240" w:lineRule="auto"/>
        <w:rPr>
          <w:rFonts w:ascii="Arial" w:hAnsi="Arial" w:cs="Arial"/>
          <w:sz w:val="24"/>
          <w:szCs w:val="24"/>
        </w:rPr>
      </w:pPr>
    </w:p>
    <w:p w:rsidR="00054E0A" w:rsidRPr="009D435E" w:rsidRDefault="005B6B49" w:rsidP="00D3134F">
      <w:pPr>
        <w:pStyle w:val="NoSpacing"/>
        <w:jc w:val="both"/>
        <w:rPr>
          <w:rFonts w:cs="Arial"/>
          <w:szCs w:val="24"/>
        </w:rPr>
      </w:pPr>
    </w:p>
    <w:sectPr w:rsidR="00054E0A" w:rsidRPr="009D435E">
      <w:headerReference w:type="default" r:id="rId9"/>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1C3" w:rsidRDefault="00B43971">
      <w:pPr>
        <w:spacing w:after="0" w:line="240" w:lineRule="auto"/>
      </w:pPr>
      <w:r>
        <w:separator/>
      </w:r>
    </w:p>
  </w:endnote>
  <w:endnote w:type="continuationSeparator" w:id="0">
    <w:p w:rsidR="002741C3" w:rsidRDefault="00B4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5B6B49" w:rsidP="00440F6A">
    <w:pPr>
      <w:pStyle w:val="Footer"/>
    </w:pPr>
    <w:bookmarkStart w:id="1" w:name="aliashAdvancedFooterprot1FooterEvenPages"/>
  </w:p>
  <w:bookmarkEnd w:id="1"/>
  <w:p w:rsidR="006A1583" w:rsidRDefault="005B6B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5B6B49" w:rsidP="00440F6A">
    <w:pPr>
      <w:pStyle w:val="Footer"/>
    </w:pPr>
    <w:bookmarkStart w:id="2" w:name="aliashAdvancedFooterprotec1FooterPrimary"/>
  </w:p>
  <w:bookmarkEnd w:id="2"/>
  <w:p w:rsidR="006A1583" w:rsidRDefault="005B6B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5B6B49" w:rsidP="00440F6A">
    <w:pPr>
      <w:pStyle w:val="Footer"/>
    </w:pPr>
    <w:bookmarkStart w:id="3" w:name="aliashAdvancedFooterprot1FooterFirstPage"/>
  </w:p>
  <w:bookmarkEnd w:id="3"/>
  <w:p w:rsidR="006A1583" w:rsidRDefault="005B6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1C3" w:rsidRDefault="00B43971">
      <w:pPr>
        <w:spacing w:after="0" w:line="240" w:lineRule="auto"/>
      </w:pPr>
      <w:r>
        <w:separator/>
      </w:r>
    </w:p>
  </w:footnote>
  <w:footnote w:type="continuationSeparator" w:id="0">
    <w:p w:rsidR="002741C3" w:rsidRDefault="00B43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B43971" w:rsidP="00054E0A">
    <w:pPr>
      <w:pStyle w:val="Header"/>
    </w:pPr>
    <w:r w:rsidRPr="00DA16C4">
      <w:rPr>
        <w:noProof/>
        <w:lang w:eastAsia="en-GB"/>
      </w:rPr>
      <w:drawing>
        <wp:inline distT="0" distB="0" distL="0" distR="0">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038244"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B64"/>
    <w:multiLevelType w:val="hybridMultilevel"/>
    <w:tmpl w:val="C31CC5EA"/>
    <w:lvl w:ilvl="0" w:tplc="9BC09F66">
      <w:start w:val="1"/>
      <w:numFmt w:val="bullet"/>
      <w:lvlText w:val=""/>
      <w:lvlJc w:val="left"/>
      <w:pPr>
        <w:ind w:left="720" w:hanging="360"/>
      </w:pPr>
      <w:rPr>
        <w:rFonts w:ascii="Symbol" w:hAnsi="Symbol" w:hint="default"/>
      </w:rPr>
    </w:lvl>
    <w:lvl w:ilvl="1" w:tplc="95E28C1E" w:tentative="1">
      <w:start w:val="1"/>
      <w:numFmt w:val="bullet"/>
      <w:lvlText w:val="o"/>
      <w:lvlJc w:val="left"/>
      <w:pPr>
        <w:ind w:left="1440" w:hanging="360"/>
      </w:pPr>
      <w:rPr>
        <w:rFonts w:ascii="Courier New" w:hAnsi="Courier New" w:cs="Courier New" w:hint="default"/>
      </w:rPr>
    </w:lvl>
    <w:lvl w:ilvl="2" w:tplc="FD9CE714" w:tentative="1">
      <w:start w:val="1"/>
      <w:numFmt w:val="bullet"/>
      <w:lvlText w:val=""/>
      <w:lvlJc w:val="left"/>
      <w:pPr>
        <w:ind w:left="2160" w:hanging="360"/>
      </w:pPr>
      <w:rPr>
        <w:rFonts w:ascii="Wingdings" w:hAnsi="Wingdings" w:hint="default"/>
      </w:rPr>
    </w:lvl>
    <w:lvl w:ilvl="3" w:tplc="9398A27A" w:tentative="1">
      <w:start w:val="1"/>
      <w:numFmt w:val="bullet"/>
      <w:lvlText w:val=""/>
      <w:lvlJc w:val="left"/>
      <w:pPr>
        <w:ind w:left="2880" w:hanging="360"/>
      </w:pPr>
      <w:rPr>
        <w:rFonts w:ascii="Symbol" w:hAnsi="Symbol" w:hint="default"/>
      </w:rPr>
    </w:lvl>
    <w:lvl w:ilvl="4" w:tplc="A5E6DFF4" w:tentative="1">
      <w:start w:val="1"/>
      <w:numFmt w:val="bullet"/>
      <w:lvlText w:val="o"/>
      <w:lvlJc w:val="left"/>
      <w:pPr>
        <w:ind w:left="3600" w:hanging="360"/>
      </w:pPr>
      <w:rPr>
        <w:rFonts w:ascii="Courier New" w:hAnsi="Courier New" w:cs="Courier New" w:hint="default"/>
      </w:rPr>
    </w:lvl>
    <w:lvl w:ilvl="5" w:tplc="1C16DF50" w:tentative="1">
      <w:start w:val="1"/>
      <w:numFmt w:val="bullet"/>
      <w:lvlText w:val=""/>
      <w:lvlJc w:val="left"/>
      <w:pPr>
        <w:ind w:left="4320" w:hanging="360"/>
      </w:pPr>
      <w:rPr>
        <w:rFonts w:ascii="Wingdings" w:hAnsi="Wingdings" w:hint="default"/>
      </w:rPr>
    </w:lvl>
    <w:lvl w:ilvl="6" w:tplc="7A708EA8" w:tentative="1">
      <w:start w:val="1"/>
      <w:numFmt w:val="bullet"/>
      <w:lvlText w:val=""/>
      <w:lvlJc w:val="left"/>
      <w:pPr>
        <w:ind w:left="5040" w:hanging="360"/>
      </w:pPr>
      <w:rPr>
        <w:rFonts w:ascii="Symbol" w:hAnsi="Symbol" w:hint="default"/>
      </w:rPr>
    </w:lvl>
    <w:lvl w:ilvl="7" w:tplc="3C26FCA8" w:tentative="1">
      <w:start w:val="1"/>
      <w:numFmt w:val="bullet"/>
      <w:lvlText w:val="o"/>
      <w:lvlJc w:val="left"/>
      <w:pPr>
        <w:ind w:left="5760" w:hanging="360"/>
      </w:pPr>
      <w:rPr>
        <w:rFonts w:ascii="Courier New" w:hAnsi="Courier New" w:cs="Courier New" w:hint="default"/>
      </w:rPr>
    </w:lvl>
    <w:lvl w:ilvl="8" w:tplc="3CE0EB5A" w:tentative="1">
      <w:start w:val="1"/>
      <w:numFmt w:val="bullet"/>
      <w:lvlText w:val=""/>
      <w:lvlJc w:val="left"/>
      <w:pPr>
        <w:ind w:left="6480" w:hanging="360"/>
      </w:pPr>
      <w:rPr>
        <w:rFonts w:ascii="Wingdings" w:hAnsi="Wingdings" w:hint="default"/>
      </w:rPr>
    </w:lvl>
  </w:abstractNum>
  <w:abstractNum w:abstractNumId="1" w15:restartNumberingAfterBreak="0">
    <w:nsid w:val="099B3BFC"/>
    <w:multiLevelType w:val="hybridMultilevel"/>
    <w:tmpl w:val="C9F6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60D89"/>
    <w:multiLevelType w:val="hybridMultilevel"/>
    <w:tmpl w:val="C5D645D8"/>
    <w:lvl w:ilvl="0" w:tplc="37AC3F56">
      <w:start w:val="1"/>
      <w:numFmt w:val="bullet"/>
      <w:lvlText w:val=""/>
      <w:lvlJc w:val="left"/>
      <w:pPr>
        <w:ind w:left="720" w:hanging="360"/>
      </w:pPr>
      <w:rPr>
        <w:rFonts w:ascii="Symbol" w:hAnsi="Symbol" w:hint="default"/>
      </w:rPr>
    </w:lvl>
    <w:lvl w:ilvl="1" w:tplc="1FFA3E30" w:tentative="1">
      <w:start w:val="1"/>
      <w:numFmt w:val="bullet"/>
      <w:lvlText w:val="o"/>
      <w:lvlJc w:val="left"/>
      <w:pPr>
        <w:ind w:left="1440" w:hanging="360"/>
      </w:pPr>
      <w:rPr>
        <w:rFonts w:ascii="Courier New" w:hAnsi="Courier New" w:cs="Courier New" w:hint="default"/>
      </w:rPr>
    </w:lvl>
    <w:lvl w:ilvl="2" w:tplc="376201BC" w:tentative="1">
      <w:start w:val="1"/>
      <w:numFmt w:val="bullet"/>
      <w:lvlText w:val=""/>
      <w:lvlJc w:val="left"/>
      <w:pPr>
        <w:ind w:left="2160" w:hanging="360"/>
      </w:pPr>
      <w:rPr>
        <w:rFonts w:ascii="Wingdings" w:hAnsi="Wingdings" w:hint="default"/>
      </w:rPr>
    </w:lvl>
    <w:lvl w:ilvl="3" w:tplc="0372A1B8" w:tentative="1">
      <w:start w:val="1"/>
      <w:numFmt w:val="bullet"/>
      <w:lvlText w:val=""/>
      <w:lvlJc w:val="left"/>
      <w:pPr>
        <w:ind w:left="2880" w:hanging="360"/>
      </w:pPr>
      <w:rPr>
        <w:rFonts w:ascii="Symbol" w:hAnsi="Symbol" w:hint="default"/>
      </w:rPr>
    </w:lvl>
    <w:lvl w:ilvl="4" w:tplc="77906480" w:tentative="1">
      <w:start w:val="1"/>
      <w:numFmt w:val="bullet"/>
      <w:lvlText w:val="o"/>
      <w:lvlJc w:val="left"/>
      <w:pPr>
        <w:ind w:left="3600" w:hanging="360"/>
      </w:pPr>
      <w:rPr>
        <w:rFonts w:ascii="Courier New" w:hAnsi="Courier New" w:cs="Courier New" w:hint="default"/>
      </w:rPr>
    </w:lvl>
    <w:lvl w:ilvl="5" w:tplc="E0E66CF6" w:tentative="1">
      <w:start w:val="1"/>
      <w:numFmt w:val="bullet"/>
      <w:lvlText w:val=""/>
      <w:lvlJc w:val="left"/>
      <w:pPr>
        <w:ind w:left="4320" w:hanging="360"/>
      </w:pPr>
      <w:rPr>
        <w:rFonts w:ascii="Wingdings" w:hAnsi="Wingdings" w:hint="default"/>
      </w:rPr>
    </w:lvl>
    <w:lvl w:ilvl="6" w:tplc="7884C7BA" w:tentative="1">
      <w:start w:val="1"/>
      <w:numFmt w:val="bullet"/>
      <w:lvlText w:val=""/>
      <w:lvlJc w:val="left"/>
      <w:pPr>
        <w:ind w:left="5040" w:hanging="360"/>
      </w:pPr>
      <w:rPr>
        <w:rFonts w:ascii="Symbol" w:hAnsi="Symbol" w:hint="default"/>
      </w:rPr>
    </w:lvl>
    <w:lvl w:ilvl="7" w:tplc="DCA407D4" w:tentative="1">
      <w:start w:val="1"/>
      <w:numFmt w:val="bullet"/>
      <w:lvlText w:val="o"/>
      <w:lvlJc w:val="left"/>
      <w:pPr>
        <w:ind w:left="5760" w:hanging="360"/>
      </w:pPr>
      <w:rPr>
        <w:rFonts w:ascii="Courier New" w:hAnsi="Courier New" w:cs="Courier New" w:hint="default"/>
      </w:rPr>
    </w:lvl>
    <w:lvl w:ilvl="8" w:tplc="CCC89BE0" w:tentative="1">
      <w:start w:val="1"/>
      <w:numFmt w:val="bullet"/>
      <w:lvlText w:val=""/>
      <w:lvlJc w:val="left"/>
      <w:pPr>
        <w:ind w:left="6480" w:hanging="360"/>
      </w:pPr>
      <w:rPr>
        <w:rFonts w:ascii="Wingdings" w:hAnsi="Wingdings" w:hint="default"/>
      </w:rPr>
    </w:lvl>
  </w:abstractNum>
  <w:abstractNum w:abstractNumId="3" w15:restartNumberingAfterBreak="0">
    <w:nsid w:val="1529788C"/>
    <w:multiLevelType w:val="hybridMultilevel"/>
    <w:tmpl w:val="A4A01B66"/>
    <w:lvl w:ilvl="0" w:tplc="9C3AF5F6">
      <w:start w:val="1"/>
      <w:numFmt w:val="bullet"/>
      <w:lvlText w:val=""/>
      <w:lvlJc w:val="left"/>
      <w:pPr>
        <w:ind w:left="720" w:hanging="360"/>
      </w:pPr>
      <w:rPr>
        <w:rFonts w:ascii="Symbol" w:hAnsi="Symbol" w:hint="default"/>
      </w:rPr>
    </w:lvl>
    <w:lvl w:ilvl="1" w:tplc="8C2A9D5E" w:tentative="1">
      <w:start w:val="1"/>
      <w:numFmt w:val="bullet"/>
      <w:lvlText w:val="o"/>
      <w:lvlJc w:val="left"/>
      <w:pPr>
        <w:ind w:left="1440" w:hanging="360"/>
      </w:pPr>
      <w:rPr>
        <w:rFonts w:ascii="Courier New" w:hAnsi="Courier New" w:cs="Courier New" w:hint="default"/>
      </w:rPr>
    </w:lvl>
    <w:lvl w:ilvl="2" w:tplc="C4683BEC" w:tentative="1">
      <w:start w:val="1"/>
      <w:numFmt w:val="bullet"/>
      <w:lvlText w:val=""/>
      <w:lvlJc w:val="left"/>
      <w:pPr>
        <w:ind w:left="2160" w:hanging="360"/>
      </w:pPr>
      <w:rPr>
        <w:rFonts w:ascii="Wingdings" w:hAnsi="Wingdings" w:hint="default"/>
      </w:rPr>
    </w:lvl>
    <w:lvl w:ilvl="3" w:tplc="5D0ABCD8" w:tentative="1">
      <w:start w:val="1"/>
      <w:numFmt w:val="bullet"/>
      <w:lvlText w:val=""/>
      <w:lvlJc w:val="left"/>
      <w:pPr>
        <w:ind w:left="2880" w:hanging="360"/>
      </w:pPr>
      <w:rPr>
        <w:rFonts w:ascii="Symbol" w:hAnsi="Symbol" w:hint="default"/>
      </w:rPr>
    </w:lvl>
    <w:lvl w:ilvl="4" w:tplc="2D30E516" w:tentative="1">
      <w:start w:val="1"/>
      <w:numFmt w:val="bullet"/>
      <w:lvlText w:val="o"/>
      <w:lvlJc w:val="left"/>
      <w:pPr>
        <w:ind w:left="3600" w:hanging="360"/>
      </w:pPr>
      <w:rPr>
        <w:rFonts w:ascii="Courier New" w:hAnsi="Courier New" w:cs="Courier New" w:hint="default"/>
      </w:rPr>
    </w:lvl>
    <w:lvl w:ilvl="5" w:tplc="3F748E5E" w:tentative="1">
      <w:start w:val="1"/>
      <w:numFmt w:val="bullet"/>
      <w:lvlText w:val=""/>
      <w:lvlJc w:val="left"/>
      <w:pPr>
        <w:ind w:left="4320" w:hanging="360"/>
      </w:pPr>
      <w:rPr>
        <w:rFonts w:ascii="Wingdings" w:hAnsi="Wingdings" w:hint="default"/>
      </w:rPr>
    </w:lvl>
    <w:lvl w:ilvl="6" w:tplc="0E763E9C" w:tentative="1">
      <w:start w:val="1"/>
      <w:numFmt w:val="bullet"/>
      <w:lvlText w:val=""/>
      <w:lvlJc w:val="left"/>
      <w:pPr>
        <w:ind w:left="5040" w:hanging="360"/>
      </w:pPr>
      <w:rPr>
        <w:rFonts w:ascii="Symbol" w:hAnsi="Symbol" w:hint="default"/>
      </w:rPr>
    </w:lvl>
    <w:lvl w:ilvl="7" w:tplc="5AD05104" w:tentative="1">
      <w:start w:val="1"/>
      <w:numFmt w:val="bullet"/>
      <w:lvlText w:val="o"/>
      <w:lvlJc w:val="left"/>
      <w:pPr>
        <w:ind w:left="5760" w:hanging="360"/>
      </w:pPr>
      <w:rPr>
        <w:rFonts w:ascii="Courier New" w:hAnsi="Courier New" w:cs="Courier New" w:hint="default"/>
      </w:rPr>
    </w:lvl>
    <w:lvl w:ilvl="8" w:tplc="87A655C0" w:tentative="1">
      <w:start w:val="1"/>
      <w:numFmt w:val="bullet"/>
      <w:lvlText w:val=""/>
      <w:lvlJc w:val="left"/>
      <w:pPr>
        <w:ind w:left="6480" w:hanging="360"/>
      </w:pPr>
      <w:rPr>
        <w:rFonts w:ascii="Wingdings" w:hAnsi="Wingdings" w:hint="default"/>
      </w:rPr>
    </w:lvl>
  </w:abstractNum>
  <w:abstractNum w:abstractNumId="4" w15:restartNumberingAfterBreak="0">
    <w:nsid w:val="31111FB9"/>
    <w:multiLevelType w:val="hybridMultilevel"/>
    <w:tmpl w:val="866C6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48E2F9B"/>
    <w:multiLevelType w:val="hybridMultilevel"/>
    <w:tmpl w:val="35DED682"/>
    <w:lvl w:ilvl="0" w:tplc="DF66E37E">
      <w:start w:val="1"/>
      <w:numFmt w:val="bullet"/>
      <w:lvlText w:val=""/>
      <w:lvlJc w:val="left"/>
      <w:pPr>
        <w:ind w:left="720" w:hanging="360"/>
      </w:pPr>
      <w:rPr>
        <w:rFonts w:ascii="Symbol" w:hAnsi="Symbol" w:hint="default"/>
      </w:rPr>
    </w:lvl>
    <w:lvl w:ilvl="1" w:tplc="00CCD1C6" w:tentative="1">
      <w:start w:val="1"/>
      <w:numFmt w:val="bullet"/>
      <w:lvlText w:val="o"/>
      <w:lvlJc w:val="left"/>
      <w:pPr>
        <w:ind w:left="1440" w:hanging="360"/>
      </w:pPr>
      <w:rPr>
        <w:rFonts w:ascii="Courier New" w:hAnsi="Courier New" w:cs="Courier New" w:hint="default"/>
      </w:rPr>
    </w:lvl>
    <w:lvl w:ilvl="2" w:tplc="503EAA8C" w:tentative="1">
      <w:start w:val="1"/>
      <w:numFmt w:val="bullet"/>
      <w:lvlText w:val=""/>
      <w:lvlJc w:val="left"/>
      <w:pPr>
        <w:ind w:left="2160" w:hanging="360"/>
      </w:pPr>
      <w:rPr>
        <w:rFonts w:ascii="Wingdings" w:hAnsi="Wingdings" w:hint="default"/>
      </w:rPr>
    </w:lvl>
    <w:lvl w:ilvl="3" w:tplc="2A8800A8" w:tentative="1">
      <w:start w:val="1"/>
      <w:numFmt w:val="bullet"/>
      <w:lvlText w:val=""/>
      <w:lvlJc w:val="left"/>
      <w:pPr>
        <w:ind w:left="2880" w:hanging="360"/>
      </w:pPr>
      <w:rPr>
        <w:rFonts w:ascii="Symbol" w:hAnsi="Symbol" w:hint="default"/>
      </w:rPr>
    </w:lvl>
    <w:lvl w:ilvl="4" w:tplc="7E2CD0D8" w:tentative="1">
      <w:start w:val="1"/>
      <w:numFmt w:val="bullet"/>
      <w:lvlText w:val="o"/>
      <w:lvlJc w:val="left"/>
      <w:pPr>
        <w:ind w:left="3600" w:hanging="360"/>
      </w:pPr>
      <w:rPr>
        <w:rFonts w:ascii="Courier New" w:hAnsi="Courier New" w:cs="Courier New" w:hint="default"/>
      </w:rPr>
    </w:lvl>
    <w:lvl w:ilvl="5" w:tplc="6D8CED62" w:tentative="1">
      <w:start w:val="1"/>
      <w:numFmt w:val="bullet"/>
      <w:lvlText w:val=""/>
      <w:lvlJc w:val="left"/>
      <w:pPr>
        <w:ind w:left="4320" w:hanging="360"/>
      </w:pPr>
      <w:rPr>
        <w:rFonts w:ascii="Wingdings" w:hAnsi="Wingdings" w:hint="default"/>
      </w:rPr>
    </w:lvl>
    <w:lvl w:ilvl="6" w:tplc="6B8AFCE6" w:tentative="1">
      <w:start w:val="1"/>
      <w:numFmt w:val="bullet"/>
      <w:lvlText w:val=""/>
      <w:lvlJc w:val="left"/>
      <w:pPr>
        <w:ind w:left="5040" w:hanging="360"/>
      </w:pPr>
      <w:rPr>
        <w:rFonts w:ascii="Symbol" w:hAnsi="Symbol" w:hint="default"/>
      </w:rPr>
    </w:lvl>
    <w:lvl w:ilvl="7" w:tplc="A1360154" w:tentative="1">
      <w:start w:val="1"/>
      <w:numFmt w:val="bullet"/>
      <w:lvlText w:val="o"/>
      <w:lvlJc w:val="left"/>
      <w:pPr>
        <w:ind w:left="5760" w:hanging="360"/>
      </w:pPr>
      <w:rPr>
        <w:rFonts w:ascii="Courier New" w:hAnsi="Courier New" w:cs="Courier New" w:hint="default"/>
      </w:rPr>
    </w:lvl>
    <w:lvl w:ilvl="8" w:tplc="71E25D0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A0"/>
    <w:rsid w:val="002741C3"/>
    <w:rsid w:val="00504DBF"/>
    <w:rsid w:val="005B6B49"/>
    <w:rsid w:val="00765028"/>
    <w:rsid w:val="00947408"/>
    <w:rsid w:val="00B43971"/>
    <w:rsid w:val="00B57B7B"/>
    <w:rsid w:val="00E13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14893-5807-4FB5-B95F-31785CEA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character" w:styleId="Hyperlink">
    <w:name w:val="Hyperlink"/>
    <w:basedOn w:val="DefaultParagraphFont"/>
    <w:uiPriority w:val="99"/>
    <w:unhideWhenUsed/>
    <w:rsid w:val="00947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oad@southribbl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43264-70F1-4C91-B2EC-7472B115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Tween, Holly</cp:lastModifiedBy>
  <cp:revision>13</cp:revision>
  <cp:lastPrinted>2015-01-28T14:27:00Z</cp:lastPrinted>
  <dcterms:created xsi:type="dcterms:W3CDTF">2015-03-30T10:11:00Z</dcterms:created>
  <dcterms:modified xsi:type="dcterms:W3CDTF">2018-02-13T09:34:00Z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City Deal Development Sites Overview</vt:lpwstr>
  </property>
  <property fmtid="{D5CDD505-2E9C-101B-9397-08002B2CF9AE}" pid="4" name="LeadOfficer">
    <vt:lpwstr>Sarah Parry</vt:lpwstr>
  </property>
  <property fmtid="{D5CDD505-2E9C-101B-9397-08002B2CF9AE}" pid="5" name="LeadOfficerEmail">
    <vt:lpwstr>sarah.parry@lancashire.gov.uk</vt:lpwstr>
  </property>
  <property fmtid="{D5CDD505-2E9C-101B-9397-08002B2CF9AE}" pid="6" name="LeadOfficerTel">
    <vt:lpwstr>Tel: 01772 530615</vt:lpwstr>
  </property>
  <property fmtid="{D5CDD505-2E9C-101B-9397-08002B2CF9AE}" pid="7" name="MeetingDate">
    <vt:lpwstr>Monday, 19 February 2018</vt:lpwstr>
  </property>
  <property fmtid="{D5CDD505-2E9C-101B-9397-08002B2CF9AE}" pid="8" name="TitusGUID">
    <vt:lpwstr>b16076df-281e-485b-ac3b-6fbc29115d7d</vt:lpwstr>
  </property>
</Properties>
</file>